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right="0"/>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附件1</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right="0"/>
        <w:textAlignment w:val="auto"/>
        <w:rPr>
          <w:rFonts w:hint="eastAsia" w:ascii="仿宋" w:hAnsi="仿宋" w:eastAsia="仿宋" w:cs="仿宋"/>
          <w:i w:val="0"/>
          <w:iCs w:val="0"/>
          <w:caps w:val="0"/>
          <w:color w:val="auto"/>
          <w:spacing w:val="0"/>
          <w:sz w:val="32"/>
          <w:szCs w:val="32"/>
          <w:shd w:val="clear" w:fill="FFFFFF"/>
          <w:lang w:val="en-US" w:eastAsia="zh-CN"/>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right="0"/>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color w:val="auto"/>
          <w:spacing w:val="0"/>
          <w:sz w:val="44"/>
          <w:szCs w:val="44"/>
          <w:shd w:val="clear" w:fill="FFFFFF"/>
          <w:lang w:val="en-US" w:eastAsia="zh-CN"/>
        </w:rPr>
        <w:t>区域重症同质化协作平台建设服务内容</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right="0"/>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fill="FFFFFF"/>
          <w:lang w:val="en-US" w:eastAsia="zh-CN"/>
        </w:rPr>
      </w:pPr>
    </w:p>
    <w:tbl>
      <w:tblPr>
        <w:tblStyle w:val="7"/>
        <w:tblpPr w:leftFromText="180" w:rightFromText="180" w:vertAnchor="text" w:horzAnchor="page" w:tblpX="1947" w:tblpY="3"/>
        <w:tblOverlap w:val="never"/>
        <w:tblW w:w="88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8"/>
        <w:gridCol w:w="1055"/>
        <w:gridCol w:w="1460"/>
        <w:gridCol w:w="3920"/>
        <w:gridCol w:w="1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43"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四川省二三级医院重症医学科提升能力项目区域分中心建设服务内容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内容描述</w:t>
            </w:r>
          </w:p>
        </w:tc>
        <w:tc>
          <w:tcPr>
            <w:tcW w:w="3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内容说明</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频次/内容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4"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重症协作信息服务平台</w:t>
            </w:r>
          </w:p>
        </w:tc>
        <w:tc>
          <w:tcPr>
            <w:tcW w:w="3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一套：重症协同平台软件</w:t>
            </w: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一套；医云屏交互智能平板（75寸屏幕+PC模块+无线传屏+移动支架）</w:t>
            </w: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各1个：音响、麦克风、电脑主机、网络附属储存</w:t>
            </w: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四台：显示器</w:t>
            </w: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2年运维服务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由项目组提供配置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4"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平台集成及服务管理</w:t>
            </w:r>
          </w:p>
        </w:tc>
        <w:tc>
          <w:tcPr>
            <w:tcW w:w="3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硬软件现场集成工作的开展及相关培训服务和支持服务的安排及管理工作，助力各级医疗机构扩大重症病床规模、扩增重症服务人次，提升各实践点的重症救治能力，建立区域重症协同诊冶服务模式，持续提高实践点整体重症患者的救治水平（含项目周期内后续平台服务运维服务配套支持费用）。</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项目周期内按项目实施进度进行集成及现场服务安排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4"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0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精准培训</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每家医院接受基础重症带教</w:t>
            </w:r>
          </w:p>
        </w:tc>
        <w:tc>
          <w:tcPr>
            <w:tcW w:w="3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由重症科专家导师带教，全面参与导师所在医疗组的临床工作，由导师负责对参训人员进行1对1，手把手教学，项目组对教学的情况进行跟踪反馈，参训学员需能掌握重症科医学的操作流程，并在导师指导下能够独立开展。</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2人次/2年，每次为期1周-1个月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6"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adjustRightInd/>
              <w:snapToGrid/>
              <w:spacing w:line="576" w:lineRule="exact"/>
              <w:jc w:val="center"/>
              <w:rPr>
                <w:rFonts w:hint="eastAsia" w:ascii="仿宋" w:hAnsi="仿宋" w:eastAsia="仿宋" w:cs="仿宋"/>
                <w:i w:val="0"/>
                <w:iCs w:val="0"/>
                <w:color w:val="000000"/>
                <w:sz w:val="24"/>
                <w:szCs w:val="24"/>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每家医院接受重症核心技术带教</w:t>
            </w:r>
          </w:p>
        </w:tc>
        <w:tc>
          <w:tcPr>
            <w:tcW w:w="3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由重症科专家导师带教，全面参与导师所在医疗组的临床工作，由导师负责对参训人员进行1对1，手把手教学，项目组对教学的情况进行跟踪反馈，通过强化训练，参训学员需能掌握重症科医学的操作流程，并在导师指导下能够独立开展。</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4人次/2年，每次为期1-2周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4"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adjustRightInd/>
              <w:snapToGrid/>
              <w:spacing w:line="576" w:lineRule="exact"/>
              <w:jc w:val="center"/>
              <w:rPr>
                <w:rFonts w:hint="eastAsia" w:ascii="仿宋" w:hAnsi="仿宋" w:eastAsia="仿宋" w:cs="仿宋"/>
                <w:i w:val="0"/>
                <w:iCs w:val="0"/>
                <w:color w:val="000000"/>
                <w:sz w:val="24"/>
                <w:szCs w:val="24"/>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现埸指导</w:t>
            </w:r>
          </w:p>
        </w:tc>
        <w:tc>
          <w:tcPr>
            <w:tcW w:w="3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专家赴建设单位开展教学查房、学术讲座、手术示教等带教指导，基层医院相关骨干现场进行学习。</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共计7人次，每次1天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4"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adjustRightInd/>
              <w:snapToGrid/>
              <w:spacing w:line="576" w:lineRule="exact"/>
              <w:jc w:val="center"/>
              <w:rPr>
                <w:rFonts w:hint="eastAsia" w:ascii="仿宋" w:hAnsi="仿宋" w:eastAsia="仿宋" w:cs="仿宋"/>
                <w:i w:val="0"/>
                <w:iCs w:val="0"/>
                <w:color w:val="000000"/>
                <w:sz w:val="24"/>
                <w:szCs w:val="24"/>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项目期导师持续顾问指导</w:t>
            </w:r>
          </w:p>
        </w:tc>
        <w:tc>
          <w:tcPr>
            <w:tcW w:w="3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固定1位导师，协助组织、协调、指导等相关工作。通过现场、电话、微信、邮件等多种方式进行指导。内容包括专项培训期间的学习答疑，专病的护理管理，业务开展期间的护理康复以及延伸服务的开展等线上咨询服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共计14个月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8"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adjustRightInd/>
              <w:snapToGrid/>
              <w:spacing w:line="576" w:lineRule="exact"/>
              <w:jc w:val="center"/>
              <w:rPr>
                <w:rFonts w:hint="eastAsia" w:ascii="仿宋" w:hAnsi="仿宋" w:eastAsia="仿宋" w:cs="仿宋"/>
                <w:i w:val="0"/>
                <w:iCs w:val="0"/>
                <w:color w:val="000000"/>
                <w:sz w:val="24"/>
                <w:szCs w:val="24"/>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现埸评估</w:t>
            </w:r>
          </w:p>
        </w:tc>
        <w:tc>
          <w:tcPr>
            <w:tcW w:w="3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项目组专家进行项目建设前、建设中和项目实施完毕后建设效果的评估，制定针对性的建设意见，同时形成评估报告。</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共计3次，每次1-2人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adjustRightInd/>
              <w:snapToGrid/>
              <w:spacing w:line="576" w:lineRule="exact"/>
              <w:jc w:val="center"/>
              <w:rPr>
                <w:rFonts w:hint="eastAsia" w:ascii="仿宋" w:hAnsi="仿宋" w:eastAsia="仿宋" w:cs="仿宋"/>
                <w:i w:val="0"/>
                <w:iCs w:val="0"/>
                <w:color w:val="000000"/>
                <w:sz w:val="24"/>
                <w:szCs w:val="24"/>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持续线上专项教育培训</w:t>
            </w:r>
          </w:p>
        </w:tc>
        <w:tc>
          <w:tcPr>
            <w:tcW w:w="3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分中心举办对县市级实践点医院的重症救治技术培训班。</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adjustRightInd/>
              <w:snapToGrid/>
              <w:spacing w:line="576" w:lineRule="exact"/>
              <w:jc w:val="center"/>
              <w:rPr>
                <w:rFonts w:hint="eastAsia" w:ascii="仿宋" w:hAnsi="仿宋" w:eastAsia="仿宋" w:cs="仿宋"/>
                <w:i w:val="0"/>
                <w:iCs w:val="0"/>
                <w:color w:val="000000"/>
                <w:sz w:val="24"/>
                <w:szCs w:val="24"/>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专题讲座</w:t>
            </w:r>
          </w:p>
        </w:tc>
        <w:tc>
          <w:tcPr>
            <w:tcW w:w="3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分中心对县市级实践点医院定期进行专题讲座。</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6"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10</w:t>
            </w:r>
          </w:p>
        </w:tc>
        <w:tc>
          <w:tcPr>
            <w:tcW w:w="10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临床支持服务</w:t>
            </w:r>
          </w:p>
        </w:tc>
        <w:tc>
          <w:tcPr>
            <w:tcW w:w="1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提供远程会诊</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支持服务</w:t>
            </w:r>
          </w:p>
        </w:tc>
        <w:tc>
          <w:tcPr>
            <w:tcW w:w="3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加强重症专科医生、护士、呼吸治疗师的队伍建设，建立常态化远程会诊及远程监测服务机制。</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共计50次，1次/天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6"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11</w:t>
            </w: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adjustRightInd/>
              <w:snapToGrid/>
              <w:spacing w:line="576" w:lineRule="exact"/>
              <w:jc w:val="center"/>
              <w:rPr>
                <w:rFonts w:hint="eastAsia" w:ascii="仿宋" w:hAnsi="仿宋" w:eastAsia="仿宋" w:cs="仿宋"/>
                <w:i w:val="0"/>
                <w:iCs w:val="0"/>
                <w:color w:val="000000"/>
                <w:sz w:val="24"/>
                <w:szCs w:val="24"/>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提供远程查房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支持服务</w:t>
            </w:r>
          </w:p>
        </w:tc>
        <w:tc>
          <w:tcPr>
            <w:tcW w:w="3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加强重症专科医生、护士、呼吸治疗师的队伍建设，建立常态化远程查房及远程监测服务机制。</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共计100人次，1人次/天</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jc w:val="left"/>
        <w:textAlignment w:val="center"/>
        <w:outlineLvl w:val="0"/>
        <w:rPr>
          <w:rFonts w:hint="eastAsia" w:ascii="仿宋" w:hAnsi="仿宋" w:eastAsia="仿宋" w:cs="仿宋"/>
          <w:b/>
          <w:bCs/>
          <w:i w:val="0"/>
          <w:iCs w:val="0"/>
          <w:color w:val="000000"/>
          <w:kern w:val="0"/>
          <w:sz w:val="24"/>
          <w:szCs w:val="24"/>
          <w:u w:val="none"/>
          <w:lang w:val="en-US" w:eastAsia="zh-CN" w:bidi="ar"/>
        </w:rPr>
      </w:pPr>
      <w:bookmarkStart w:id="0" w:name="_Toc27547"/>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jc w:val="left"/>
        <w:textAlignment w:val="center"/>
        <w:outlineLvl w:val="0"/>
        <w:rPr>
          <w:rFonts w:hint="eastAsia" w:ascii="仿宋" w:hAnsi="仿宋" w:eastAsia="仿宋" w:cs="仿宋"/>
          <w:b/>
          <w:bCs/>
          <w:i w:val="0"/>
          <w:iCs w:val="0"/>
          <w:color w:val="000000"/>
          <w:kern w:val="0"/>
          <w:sz w:val="24"/>
          <w:szCs w:val="24"/>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jc w:val="left"/>
        <w:textAlignment w:val="center"/>
        <w:outlineLvl w:val="0"/>
        <w:rPr>
          <w:rFonts w:hint="eastAsia" w:ascii="仿宋" w:hAnsi="仿宋" w:eastAsia="仿宋" w:cs="仿宋"/>
          <w:b/>
          <w:bCs/>
          <w:i w:val="0"/>
          <w:iCs w:val="0"/>
          <w:color w:val="000000"/>
          <w:kern w:val="0"/>
          <w:sz w:val="24"/>
          <w:szCs w:val="24"/>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jc w:val="center"/>
        <w:textAlignment w:val="center"/>
        <w:outlineLvl w:val="0"/>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i w:val="0"/>
          <w:iCs w:val="0"/>
          <w:color w:val="000000"/>
          <w:kern w:val="0"/>
          <w:sz w:val="44"/>
          <w:szCs w:val="44"/>
          <w:u w:val="none"/>
          <w:lang w:val="en-US" w:eastAsia="zh-CN" w:bidi="ar"/>
        </w:rPr>
        <w:t>区域分中心“重症同质化协作平台”应用系统和相关硬件设备安装的环境要求</w:t>
      </w:r>
      <w:bookmarkEnd w:id="0"/>
    </w:p>
    <w:p>
      <w:pPr>
        <w:pStyle w:val="6"/>
        <w:pageBreakBefore w:val="0"/>
        <w:kinsoku/>
        <w:wordWrap/>
        <w:overflowPunct/>
        <w:topLinePunct w:val="0"/>
        <w:autoSpaceDE/>
        <w:autoSpaceDN/>
        <w:bidi w:val="0"/>
        <w:adjustRightInd/>
        <w:snapToGrid/>
        <w:spacing w:line="576" w:lineRule="exact"/>
        <w:jc w:val="left"/>
        <w:outlineLvl w:val="1"/>
        <w:rPr>
          <w:rFonts w:hint="eastAsia" w:ascii="仿宋" w:hAnsi="仿宋" w:eastAsia="仿宋" w:cs="仿宋"/>
          <w:sz w:val="32"/>
          <w:szCs w:val="32"/>
        </w:rPr>
      </w:pPr>
      <w:bookmarkStart w:id="1" w:name="_Toc21779"/>
      <w:r>
        <w:rPr>
          <w:rFonts w:hint="eastAsia" w:ascii="仿宋" w:hAnsi="仿宋" w:eastAsia="仿宋" w:cs="仿宋"/>
          <w:sz w:val="32"/>
          <w:szCs w:val="32"/>
          <w:lang w:val="en-US" w:eastAsia="zh-CN"/>
        </w:rPr>
        <w:t>1、</w:t>
      </w:r>
      <w:r>
        <w:rPr>
          <w:rFonts w:hint="eastAsia" w:ascii="仿宋" w:hAnsi="仿宋" w:eastAsia="仿宋" w:cs="仿宋"/>
          <w:sz w:val="32"/>
          <w:szCs w:val="32"/>
        </w:rPr>
        <w:t>硬件环境要求</w:t>
      </w:r>
      <w:bookmarkEnd w:id="1"/>
    </w:p>
    <w:p>
      <w:pPr>
        <w:pStyle w:val="4"/>
        <w:pageBreakBefore w:val="0"/>
        <w:kinsoku/>
        <w:wordWrap/>
        <w:overflowPunct/>
        <w:topLinePunct w:val="0"/>
        <w:autoSpaceDE/>
        <w:autoSpaceDN/>
        <w:bidi w:val="0"/>
        <w:adjustRightInd/>
        <w:snapToGrid/>
        <w:spacing w:line="576" w:lineRule="exact"/>
        <w:rPr>
          <w:rFonts w:hint="eastAsia" w:ascii="仿宋" w:hAnsi="仿宋" w:eastAsia="仿宋" w:cs="仿宋"/>
          <w:sz w:val="32"/>
          <w:szCs w:val="32"/>
        </w:rPr>
      </w:pPr>
      <w:bookmarkStart w:id="2" w:name="_Toc3154"/>
      <w:r>
        <w:rPr>
          <w:rFonts w:hint="eastAsia" w:ascii="仿宋" w:hAnsi="仿宋" w:eastAsia="仿宋" w:cs="仿宋"/>
          <w:sz w:val="32"/>
          <w:szCs w:val="32"/>
        </w:rPr>
        <w:t>1.1医云屏交互智能平板安装需求</w:t>
      </w:r>
      <w:bookmarkEnd w:id="2"/>
    </w:p>
    <w:p>
      <w:pPr>
        <w:pStyle w:val="9"/>
        <w:pageBreakBefore w:val="0"/>
        <w:numPr>
          <w:ilvl w:val="0"/>
          <w:numId w:val="2"/>
        </w:numPr>
        <w:kinsoku/>
        <w:wordWrap/>
        <w:overflowPunct/>
        <w:topLinePunct w:val="0"/>
        <w:autoSpaceDE/>
        <w:autoSpaceDN/>
        <w:bidi w:val="0"/>
        <w:adjustRightInd/>
        <w:snapToGrid/>
        <w:spacing w:line="576" w:lineRule="exact"/>
        <w:ind w:firstLineChars="0"/>
        <w:rPr>
          <w:rFonts w:hint="eastAsia" w:ascii="仿宋" w:hAnsi="仿宋" w:eastAsia="仿宋" w:cs="仿宋"/>
          <w:sz w:val="32"/>
          <w:szCs w:val="32"/>
        </w:rPr>
      </w:pPr>
      <w:r>
        <w:rPr>
          <w:rFonts w:hint="eastAsia" w:ascii="仿宋" w:hAnsi="仿宋" w:eastAsia="仿宋" w:cs="仿宋"/>
          <w:sz w:val="32"/>
          <w:szCs w:val="32"/>
        </w:rPr>
        <w:t>提供75寸智能平板安装场地；</w:t>
      </w:r>
    </w:p>
    <w:p>
      <w:pPr>
        <w:pStyle w:val="9"/>
        <w:pageBreakBefore w:val="0"/>
        <w:numPr>
          <w:ilvl w:val="0"/>
          <w:numId w:val="2"/>
        </w:numPr>
        <w:kinsoku/>
        <w:wordWrap/>
        <w:overflowPunct/>
        <w:topLinePunct w:val="0"/>
        <w:autoSpaceDE/>
        <w:autoSpaceDN/>
        <w:bidi w:val="0"/>
        <w:adjustRightInd/>
        <w:snapToGrid/>
        <w:spacing w:line="576" w:lineRule="exact"/>
        <w:ind w:firstLineChars="0"/>
        <w:rPr>
          <w:rFonts w:hint="eastAsia" w:ascii="仿宋" w:hAnsi="仿宋" w:eastAsia="仿宋" w:cs="仿宋"/>
          <w:sz w:val="32"/>
          <w:szCs w:val="32"/>
        </w:rPr>
      </w:pPr>
      <w:r>
        <w:rPr>
          <w:rFonts w:hint="eastAsia" w:ascii="仿宋" w:hAnsi="仿宋" w:eastAsia="仿宋" w:cs="仿宋"/>
          <w:sz w:val="32"/>
          <w:szCs w:val="32"/>
        </w:rPr>
        <w:t>安装场地提供一个220V接地插口；</w:t>
      </w:r>
    </w:p>
    <w:p>
      <w:pPr>
        <w:pStyle w:val="9"/>
        <w:pageBreakBefore w:val="0"/>
        <w:numPr>
          <w:ilvl w:val="0"/>
          <w:numId w:val="2"/>
        </w:numPr>
        <w:kinsoku/>
        <w:wordWrap/>
        <w:overflowPunct/>
        <w:topLinePunct w:val="0"/>
        <w:autoSpaceDE/>
        <w:autoSpaceDN/>
        <w:bidi w:val="0"/>
        <w:adjustRightInd/>
        <w:snapToGrid/>
        <w:spacing w:line="576" w:lineRule="exact"/>
        <w:ind w:firstLineChars="0"/>
        <w:rPr>
          <w:rFonts w:hint="eastAsia" w:ascii="仿宋" w:hAnsi="仿宋" w:eastAsia="仿宋" w:cs="仿宋"/>
          <w:sz w:val="32"/>
          <w:szCs w:val="32"/>
        </w:rPr>
      </w:pPr>
      <w:r>
        <w:rPr>
          <w:rFonts w:hint="eastAsia" w:ascii="仿宋" w:hAnsi="仿宋" w:eastAsia="仿宋" w:cs="仿宋"/>
          <w:sz w:val="32"/>
          <w:szCs w:val="32"/>
        </w:rPr>
        <w:t>安装场地提供一个标准RJ45标准网口，网络接互联网（具体参考网络需求）；</w:t>
      </w:r>
    </w:p>
    <w:p>
      <w:pPr>
        <w:pStyle w:val="4"/>
        <w:pageBreakBefore w:val="0"/>
        <w:kinsoku/>
        <w:wordWrap/>
        <w:overflowPunct/>
        <w:topLinePunct w:val="0"/>
        <w:autoSpaceDE/>
        <w:autoSpaceDN/>
        <w:bidi w:val="0"/>
        <w:adjustRightInd/>
        <w:snapToGrid/>
        <w:spacing w:line="576" w:lineRule="exact"/>
        <w:rPr>
          <w:rFonts w:hint="eastAsia" w:ascii="仿宋" w:hAnsi="仿宋" w:eastAsia="仿宋" w:cs="仿宋"/>
          <w:sz w:val="32"/>
          <w:szCs w:val="32"/>
        </w:rPr>
      </w:pPr>
      <w:bookmarkStart w:id="3" w:name="_Toc25870"/>
      <w:r>
        <w:rPr>
          <w:rFonts w:hint="eastAsia" w:ascii="仿宋" w:hAnsi="仿宋" w:eastAsia="仿宋" w:cs="仿宋"/>
          <w:sz w:val="32"/>
          <w:szCs w:val="32"/>
        </w:rPr>
        <w:t>1.2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Telelink安装需求</w:t>
      </w:r>
      <w:bookmarkEnd w:id="3"/>
    </w:p>
    <w:p>
      <w:pPr>
        <w:pStyle w:val="9"/>
        <w:pageBreakBefore w:val="0"/>
        <w:numPr>
          <w:ilvl w:val="0"/>
          <w:numId w:val="3"/>
        </w:numPr>
        <w:kinsoku/>
        <w:wordWrap/>
        <w:overflowPunct/>
        <w:topLinePunct w:val="0"/>
        <w:autoSpaceDE/>
        <w:autoSpaceDN/>
        <w:bidi w:val="0"/>
        <w:adjustRightInd/>
        <w:snapToGrid/>
        <w:spacing w:line="576" w:lineRule="exact"/>
        <w:ind w:firstLineChars="0"/>
        <w:rPr>
          <w:rFonts w:hint="eastAsia" w:ascii="仿宋" w:hAnsi="仿宋" w:eastAsia="仿宋" w:cs="仿宋"/>
          <w:sz w:val="32"/>
          <w:szCs w:val="32"/>
        </w:rPr>
      </w:pPr>
      <w:r>
        <w:rPr>
          <w:rFonts w:hint="eastAsia" w:ascii="仿宋" w:hAnsi="仿宋" w:eastAsia="仿宋" w:cs="仿宋"/>
          <w:sz w:val="32"/>
          <w:szCs w:val="32"/>
        </w:rPr>
        <w:t>预留RJ45网络接口，网络接互联网（具体参考网络需求）；</w:t>
      </w:r>
    </w:p>
    <w:p>
      <w:pPr>
        <w:pStyle w:val="9"/>
        <w:pageBreakBefore w:val="0"/>
        <w:numPr>
          <w:ilvl w:val="0"/>
          <w:numId w:val="3"/>
        </w:numPr>
        <w:kinsoku/>
        <w:wordWrap/>
        <w:overflowPunct/>
        <w:topLinePunct w:val="0"/>
        <w:autoSpaceDE/>
        <w:autoSpaceDN/>
        <w:bidi w:val="0"/>
        <w:adjustRightInd/>
        <w:snapToGrid/>
        <w:spacing w:line="576" w:lineRule="exact"/>
        <w:ind w:firstLineChars="0"/>
        <w:rPr>
          <w:rFonts w:hint="eastAsia" w:ascii="仿宋" w:hAnsi="仿宋" w:eastAsia="仿宋" w:cs="仿宋"/>
          <w:sz w:val="32"/>
          <w:szCs w:val="32"/>
        </w:rPr>
      </w:pPr>
      <w:r>
        <w:rPr>
          <w:rFonts w:hint="eastAsia" w:ascii="仿宋" w:hAnsi="仿宋" w:eastAsia="仿宋" w:cs="仿宋"/>
          <w:sz w:val="32"/>
          <w:szCs w:val="32"/>
        </w:rPr>
        <w:t>安装点旁准备一台业务电脑，部署医院信息系统，配置需求参考各自医院信息系统需求；</w:t>
      </w:r>
    </w:p>
    <w:p>
      <w:pPr>
        <w:pStyle w:val="9"/>
        <w:pageBreakBefore w:val="0"/>
        <w:numPr>
          <w:ilvl w:val="0"/>
          <w:numId w:val="3"/>
        </w:numPr>
        <w:kinsoku/>
        <w:wordWrap/>
        <w:overflowPunct/>
        <w:topLinePunct w:val="0"/>
        <w:autoSpaceDE/>
        <w:autoSpaceDN/>
        <w:bidi w:val="0"/>
        <w:adjustRightInd/>
        <w:snapToGrid/>
        <w:spacing w:line="576" w:lineRule="exact"/>
        <w:ind w:firstLineChars="0"/>
        <w:rPr>
          <w:rFonts w:hint="eastAsia" w:ascii="仿宋" w:hAnsi="仿宋" w:eastAsia="仿宋" w:cs="仿宋"/>
          <w:sz w:val="32"/>
          <w:szCs w:val="32"/>
        </w:rPr>
      </w:pPr>
      <w:r>
        <w:rPr>
          <w:rFonts w:hint="eastAsia" w:ascii="仿宋" w:hAnsi="仿宋" w:eastAsia="仿宋" w:cs="仿宋"/>
          <w:sz w:val="32"/>
          <w:szCs w:val="32"/>
        </w:rPr>
        <w:t>业务电脑视频接口：标准VGA接口；</w:t>
      </w:r>
    </w:p>
    <w:p>
      <w:pPr>
        <w:pageBreakBefore w:val="0"/>
        <w:kinsoku/>
        <w:wordWrap/>
        <w:overflowPunct/>
        <w:topLinePunct w:val="0"/>
        <w:autoSpaceDE/>
        <w:autoSpaceDN/>
        <w:bidi w:val="0"/>
        <w:adjustRightInd/>
        <w:snapToGrid/>
        <w:spacing w:line="576" w:lineRule="exact"/>
        <w:rPr>
          <w:rFonts w:hint="eastAsia" w:ascii="仿宋" w:hAnsi="仿宋" w:eastAsia="仿宋" w:cs="仿宋"/>
          <w:sz w:val="32"/>
          <w:szCs w:val="32"/>
        </w:rPr>
      </w:pPr>
    </w:p>
    <w:p>
      <w:pPr>
        <w:pStyle w:val="6"/>
        <w:pageBreakBefore w:val="0"/>
        <w:kinsoku/>
        <w:wordWrap/>
        <w:overflowPunct/>
        <w:topLinePunct w:val="0"/>
        <w:autoSpaceDE/>
        <w:autoSpaceDN/>
        <w:bidi w:val="0"/>
        <w:adjustRightInd/>
        <w:snapToGrid/>
        <w:spacing w:line="576" w:lineRule="exact"/>
        <w:jc w:val="left"/>
        <w:outlineLvl w:val="1"/>
        <w:rPr>
          <w:rFonts w:hint="eastAsia" w:ascii="仿宋" w:hAnsi="仿宋" w:eastAsia="仿宋" w:cs="仿宋"/>
          <w:sz w:val="32"/>
          <w:szCs w:val="32"/>
        </w:rPr>
      </w:pPr>
      <w:bookmarkStart w:id="4" w:name="_Toc4895"/>
      <w:r>
        <w:rPr>
          <w:rFonts w:hint="eastAsia" w:ascii="仿宋" w:hAnsi="仿宋" w:eastAsia="仿宋" w:cs="仿宋"/>
          <w:sz w:val="32"/>
          <w:szCs w:val="32"/>
          <w:lang w:val="en-US" w:eastAsia="zh-CN"/>
        </w:rPr>
        <w:t>2</w:t>
      </w:r>
      <w:r>
        <w:rPr>
          <w:rFonts w:hint="eastAsia" w:ascii="仿宋" w:hAnsi="仿宋" w:eastAsia="仿宋" w:cs="仿宋"/>
          <w:sz w:val="32"/>
          <w:szCs w:val="32"/>
        </w:rPr>
        <w:t>、网络要求</w:t>
      </w:r>
      <w:bookmarkEnd w:id="4"/>
    </w:p>
    <w:p>
      <w:pPr>
        <w:pStyle w:val="9"/>
        <w:pageBreakBefore w:val="0"/>
        <w:numPr>
          <w:ilvl w:val="0"/>
          <w:numId w:val="3"/>
        </w:numPr>
        <w:kinsoku/>
        <w:wordWrap/>
        <w:overflowPunct/>
        <w:topLinePunct w:val="0"/>
        <w:autoSpaceDE/>
        <w:autoSpaceDN/>
        <w:bidi w:val="0"/>
        <w:adjustRightInd/>
        <w:snapToGrid/>
        <w:spacing w:line="576" w:lineRule="exact"/>
        <w:ind w:firstLineChars="0"/>
        <w:rPr>
          <w:rFonts w:hint="eastAsia" w:ascii="仿宋" w:hAnsi="仿宋" w:eastAsia="仿宋" w:cs="仿宋"/>
          <w:sz w:val="32"/>
          <w:szCs w:val="32"/>
        </w:rPr>
      </w:pPr>
      <w:r>
        <w:rPr>
          <w:rFonts w:hint="eastAsia" w:ascii="仿宋" w:hAnsi="仿宋" w:eastAsia="仿宋" w:cs="仿宋"/>
          <w:sz w:val="32"/>
          <w:szCs w:val="32"/>
        </w:rPr>
        <w:t>互联网与院内网隔离运行，内网调阅由Telelink实现；</w:t>
      </w:r>
    </w:p>
    <w:p>
      <w:pPr>
        <w:pStyle w:val="9"/>
        <w:pageBreakBefore w:val="0"/>
        <w:numPr>
          <w:ilvl w:val="0"/>
          <w:numId w:val="3"/>
        </w:numPr>
        <w:kinsoku/>
        <w:wordWrap/>
        <w:overflowPunct/>
        <w:topLinePunct w:val="0"/>
        <w:autoSpaceDE/>
        <w:autoSpaceDN/>
        <w:bidi w:val="0"/>
        <w:adjustRightInd/>
        <w:snapToGrid/>
        <w:spacing w:line="576" w:lineRule="exact"/>
        <w:ind w:firstLineChars="0"/>
        <w:jc w:val="left"/>
      </w:pPr>
      <w:r>
        <w:rPr>
          <w:rFonts w:hint="eastAsia" w:ascii="仿宋" w:hAnsi="仿宋" w:eastAsia="仿宋" w:cs="仿宋"/>
          <w:sz w:val="32"/>
          <w:szCs w:val="32"/>
        </w:rPr>
        <w:t>互联网带宽要求：20M对等带宽或者100M商业宽带（使用http://www.speedtest.net在线测试，达到20Mbps以上的上行/下行网速。）</w:t>
      </w:r>
      <w:bookmarkStart w:id="5" w:name="_GoBack"/>
      <w:bookmarkEnd w:id="5"/>
    </w:p>
    <w:sectPr>
      <w:pgSz w:w="11906" w:h="16838"/>
      <w:pgMar w:top="2098" w:right="1417" w:bottom="198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434F5F34"/>
    <w:multiLevelType w:val="multilevel"/>
    <w:tmpl w:val="434F5F3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4D74190F"/>
    <w:multiLevelType w:val="multilevel"/>
    <w:tmpl w:val="4D74190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1NjBjNDRhZTkwM2ZmMzJlNzhhYzA2NGUwNmY4YjAifQ=="/>
  </w:docVars>
  <w:rsids>
    <w:rsidRoot w:val="32932A27"/>
    <w:rsid w:val="32932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2">
    <w:name w:val="标题 5（有编号）（绿盟科技）"/>
    <w:basedOn w:val="1"/>
    <w:next w:val="3"/>
    <w:autoRedefine/>
    <w:qFormat/>
    <w:uiPriority w:val="0"/>
    <w:pPr>
      <w:keepNext/>
      <w:keepLines/>
      <w:numPr>
        <w:ilvl w:val="4"/>
        <w:numId w:val="1"/>
      </w:numPr>
      <w:tabs>
        <w:tab w:val="left" w:pos="0"/>
      </w:tabs>
      <w:spacing w:before="280" w:after="156" w:line="377" w:lineRule="auto"/>
      <w:jc w:val="left"/>
      <w:outlineLvl w:val="4"/>
    </w:pPr>
    <w:rPr>
      <w:rFonts w:ascii="Arial" w:hAnsi="Arial" w:eastAsia="黑体"/>
      <w:b/>
      <w:kern w:val="0"/>
      <w:sz w:val="24"/>
      <w:szCs w:val="28"/>
    </w:rPr>
  </w:style>
  <w:style w:type="paragraph" w:customStyle="1" w:styleId="3">
    <w:name w:val="正文（绿盟科技）"/>
    <w:autoRedefine/>
    <w:qFormat/>
    <w:uiPriority w:val="0"/>
    <w:pPr>
      <w:spacing w:line="300" w:lineRule="auto"/>
    </w:pPr>
    <w:rPr>
      <w:rFonts w:ascii="Arial" w:hAnsi="Arial" w:eastAsia="宋体" w:cs="黑体"/>
      <w:sz w:val="21"/>
      <w:szCs w:val="21"/>
      <w:lang w:val="en-US" w:eastAsia="zh-CN"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2024-03-27T08:52:00Z</dcterms:created>
  <dc:creator>胡婷</dc:creator>
  <cp:lastModifiedBy>胡婷</cp:lastModifiedBy>
  <dcterms:modified xsi:type="dcterms:W3CDTF">2024-03-27T08:52:44Z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5FB45E63BB4149428EC68F80A06F341D_11</vt:lpwstr>
  </property>
</Properties>
</file>